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F055" w14:textId="77777777" w:rsidR="009305AF" w:rsidRDefault="009305AF"/>
    <w:tbl>
      <w:tblPr>
        <w:tblStyle w:val="TextLayout"/>
        <w:tblW w:w="5250" w:type="pct"/>
        <w:tblBorders>
          <w:top w:val="single" w:sz="4" w:space="0" w:color="A6A8AB"/>
          <w:left w:val="single" w:sz="4" w:space="0" w:color="A6A8AB"/>
          <w:bottom w:val="single" w:sz="4" w:space="0" w:color="A6A8AB"/>
          <w:right w:val="single" w:sz="4" w:space="0" w:color="A6A8AB"/>
        </w:tblBorders>
        <w:tblLook w:val="04A0" w:firstRow="1" w:lastRow="0" w:firstColumn="1" w:lastColumn="0" w:noHBand="0" w:noVBand="1"/>
      </w:tblPr>
      <w:tblGrid>
        <w:gridCol w:w="6042"/>
        <w:gridCol w:w="1397"/>
        <w:gridCol w:w="2028"/>
      </w:tblGrid>
      <w:tr w:rsidR="00EB7399" w:rsidRPr="00111229" w14:paraId="24A9A49E" w14:textId="77777777" w:rsidTr="5C4FD359">
        <w:trPr>
          <w:trHeight w:val="799"/>
        </w:trPr>
        <w:tc>
          <w:tcPr>
            <w:tcW w:w="7439" w:type="dxa"/>
            <w:gridSpan w:val="2"/>
          </w:tcPr>
          <w:p w14:paraId="1E82C333" w14:textId="77777777" w:rsidR="00EB7399" w:rsidRDefault="009305AF" w:rsidP="007A3F06">
            <w:pPr>
              <w:rPr>
                <w:b/>
                <w:sz w:val="28"/>
                <w:shd w:val="clear" w:color="auto" w:fill="EDEDED" w:themeFill="accent3" w:themeFillTint="33"/>
              </w:rPr>
            </w:pPr>
            <w:r>
              <w:rPr>
                <w:b/>
                <w:sz w:val="28"/>
                <w:shd w:val="clear" w:color="auto" w:fill="EDEDED" w:themeFill="accent3" w:themeFillTint="33"/>
              </w:rPr>
              <w:t>Special Education Training Alliance (SETA)</w:t>
            </w:r>
          </w:p>
          <w:p w14:paraId="19873899" w14:textId="77777777" w:rsidR="009305AF" w:rsidRPr="009305AF" w:rsidRDefault="009305AF" w:rsidP="007A3F06">
            <w:pPr>
              <w:rPr>
                <w:b/>
                <w:sz w:val="16"/>
                <w:szCs w:val="16"/>
              </w:rPr>
            </w:pPr>
            <w:r w:rsidRPr="009305AF">
              <w:rPr>
                <w:b/>
                <w:sz w:val="16"/>
                <w:szCs w:val="16"/>
                <w:shd w:val="clear" w:color="auto" w:fill="EDEDED" w:themeFill="accent3" w:themeFillTint="33"/>
              </w:rPr>
              <w:t>(Western Suburbs State Special School)</w:t>
            </w:r>
          </w:p>
          <w:p w14:paraId="7392FA7B" w14:textId="77777777" w:rsidR="00EB7399" w:rsidRDefault="00EB7399" w:rsidP="007A3F06">
            <w:pPr>
              <w:spacing w:before="120"/>
              <w:rPr>
                <w:sz w:val="24"/>
                <w:shd w:val="clear" w:color="auto" w:fill="EDEDED" w:themeFill="accent3" w:themeFillTint="33"/>
              </w:rPr>
            </w:pPr>
            <w:r w:rsidRPr="00111229">
              <w:rPr>
                <w:sz w:val="24"/>
              </w:rPr>
              <w:t xml:space="preserve">RTO </w:t>
            </w:r>
            <w:r>
              <w:rPr>
                <w:sz w:val="24"/>
              </w:rPr>
              <w:t>n</w:t>
            </w:r>
            <w:r w:rsidRPr="00111229">
              <w:rPr>
                <w:sz w:val="24"/>
              </w:rPr>
              <w:t xml:space="preserve">umber: </w:t>
            </w:r>
            <w:r w:rsidR="009305AF">
              <w:rPr>
                <w:sz w:val="24"/>
                <w:shd w:val="clear" w:color="auto" w:fill="EDEDED" w:themeFill="accent3" w:themeFillTint="33"/>
              </w:rPr>
              <w:t>41021</w:t>
            </w:r>
          </w:p>
          <w:p w14:paraId="68A023A9" w14:textId="77777777" w:rsidR="009305AF" w:rsidRPr="009305AF" w:rsidRDefault="009305AF" w:rsidP="007A3F06">
            <w:pPr>
              <w:spacing w:before="120"/>
              <w:rPr>
                <w:sz w:val="16"/>
                <w:szCs w:val="16"/>
              </w:rPr>
            </w:pPr>
            <w:r w:rsidRPr="009305AF">
              <w:rPr>
                <w:sz w:val="16"/>
                <w:szCs w:val="16"/>
              </w:rPr>
              <w:t xml:space="preserve">SETA operates as a central RTO across a number of Specials in Queensland and offers students the ability to complete Certificates within their individual school sites. Specific course availability </w:t>
            </w:r>
            <w:r>
              <w:rPr>
                <w:sz w:val="16"/>
                <w:szCs w:val="16"/>
              </w:rPr>
              <w:t>depends on</w:t>
            </w:r>
            <w:r w:rsidRPr="009305AF">
              <w:rPr>
                <w:sz w:val="16"/>
                <w:szCs w:val="16"/>
              </w:rPr>
              <w:t xml:space="preserve"> site staffing, facilities and the cohort of students in attendance.</w:t>
            </w:r>
          </w:p>
        </w:tc>
        <w:tc>
          <w:tcPr>
            <w:tcW w:w="2028" w:type="dxa"/>
          </w:tcPr>
          <w:p w14:paraId="628508A6" w14:textId="77777777" w:rsidR="00EB7399" w:rsidRPr="00111229" w:rsidRDefault="00EB7399" w:rsidP="007A3F06">
            <w:pPr>
              <w:spacing w:line="240" w:lineRule="auto"/>
              <w:jc w:val="right"/>
            </w:pPr>
            <w:r w:rsidRPr="00111229">
              <w:rPr>
                <w:noProof/>
                <w:lang w:eastAsia="zh-CN"/>
                <w14:numForm w14:val="default"/>
              </w:rPr>
              <w:drawing>
                <wp:inline distT="0" distB="0" distL="0" distR="0" wp14:anchorId="2F55B030" wp14:editId="0554FB6E">
                  <wp:extent cx="1284732" cy="914400"/>
                  <wp:effectExtent l="0" t="0" r="0" b="0"/>
                  <wp:docPr id="2" name="Picture 2" descr="Image result for nr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r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19" cy="914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399" w:rsidRPr="00111229" w14:paraId="4568D351" w14:textId="77777777" w:rsidTr="5C4FD359">
        <w:tc>
          <w:tcPr>
            <w:tcW w:w="9467" w:type="dxa"/>
            <w:gridSpan w:val="3"/>
            <w:shd w:val="clear" w:color="auto" w:fill="E7E6E6" w:themeFill="background2"/>
          </w:tcPr>
          <w:p w14:paraId="1B1D12D9" w14:textId="422ADC90" w:rsidR="00EB7399" w:rsidRPr="00111229" w:rsidRDefault="009305AF" w:rsidP="007A3F06">
            <w:pPr>
              <w:pStyle w:val="Heading3"/>
              <w:jc w:val="center"/>
            </w:pPr>
            <w:r w:rsidRPr="5C4FD359">
              <w:rPr>
                <w:color w:val="auto"/>
              </w:rPr>
              <w:t>FSK1011</w:t>
            </w:r>
            <w:r w:rsidR="61161A20" w:rsidRPr="5C4FD359">
              <w:rPr>
                <w:color w:val="auto"/>
              </w:rPr>
              <w:t>9</w:t>
            </w:r>
            <w:r w:rsidRPr="5C4FD359">
              <w:rPr>
                <w:color w:val="auto"/>
              </w:rPr>
              <w:t xml:space="preserve"> Certificate I Access to Vocational Pathways</w:t>
            </w:r>
          </w:p>
        </w:tc>
      </w:tr>
      <w:tr w:rsidR="00EB7399" w:rsidRPr="00111229" w14:paraId="7BC2ADBD" w14:textId="77777777" w:rsidTr="5C4FD359">
        <w:tc>
          <w:tcPr>
            <w:tcW w:w="6042" w:type="dxa"/>
          </w:tcPr>
          <w:p w14:paraId="617FA503" w14:textId="77777777" w:rsidR="00EB7399" w:rsidRPr="00111229" w:rsidRDefault="00EB7399" w:rsidP="007A3F06">
            <w:pPr>
              <w:spacing w:before="40" w:after="40"/>
              <w:ind w:right="133"/>
              <w:rPr>
                <w:sz w:val="22"/>
              </w:rPr>
            </w:pPr>
            <w:r w:rsidRPr="00111229">
              <w:rPr>
                <w:b/>
                <w:sz w:val="22"/>
              </w:rPr>
              <w:t>Qualification description</w:t>
            </w:r>
          </w:p>
          <w:p w14:paraId="78EA5514" w14:textId="77777777" w:rsidR="00EB7399" w:rsidRPr="00111229" w:rsidRDefault="00EB7399" w:rsidP="007A3F06">
            <w:pPr>
              <w:spacing w:after="80"/>
              <w:ind w:right="133"/>
              <w:rPr>
                <w:rFonts w:cs="Arial"/>
                <w:color w:val="000000"/>
                <w:sz w:val="18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 xml:space="preserve">This qualification </w:t>
            </w:r>
            <w:r>
              <w:rPr>
                <w:rFonts w:cs="Arial"/>
                <w:color w:val="000000"/>
                <w:sz w:val="18"/>
                <w:szCs w:val="18"/>
              </w:rPr>
              <w:t>focuses on the development of basic language, literacy and numeracy skills required for the workplace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50CEDD2C" w14:textId="77777777" w:rsidR="00EB7399" w:rsidRPr="00111229" w:rsidRDefault="00EB7399" w:rsidP="007A3F06">
            <w:pPr>
              <w:pStyle w:val="Default"/>
              <w:autoSpaceDE/>
              <w:autoSpaceDN/>
              <w:adjustRightInd/>
              <w:spacing w:after="80" w:line="259" w:lineRule="auto"/>
              <w:ind w:right="133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11229">
              <w:rPr>
                <w:rFonts w:ascii="Arial" w:hAnsi="Arial" w:cs="Arial"/>
                <w:sz w:val="18"/>
                <w:szCs w:val="18"/>
                <w:lang w:val="en-AU"/>
              </w:rPr>
              <w:t xml:space="preserve">Refer to </w:t>
            </w:r>
            <w:hyperlink r:id="rId11" w:history="1">
              <w:r w:rsidRPr="00111229">
                <w:rPr>
                  <w:rStyle w:val="Hyperlink"/>
                  <w:rFonts w:cs="Arial"/>
                  <w:sz w:val="18"/>
                  <w:szCs w:val="18"/>
                  <w:lang w:val="en-AU"/>
                </w:rPr>
                <w:t>training.gov.au</w:t>
              </w:r>
            </w:hyperlink>
            <w:r w:rsidRPr="00111229">
              <w:rPr>
                <w:rFonts w:ascii="Arial" w:hAnsi="Arial" w:cs="Arial"/>
                <w:sz w:val="18"/>
                <w:szCs w:val="18"/>
                <w:lang w:val="en-AU"/>
              </w:rPr>
              <w:t xml:space="preserve"> for specific information about the qualification.</w:t>
            </w:r>
          </w:p>
          <w:p w14:paraId="2B07B308" w14:textId="77777777" w:rsidR="00EB7399" w:rsidRPr="00111229" w:rsidRDefault="00EB7399" w:rsidP="007A3F06">
            <w:pPr>
              <w:pStyle w:val="Default"/>
              <w:spacing w:before="80" w:after="40"/>
              <w:rPr>
                <w:rFonts w:ascii="Arial" w:hAnsi="Arial" w:cs="Times New Roman"/>
                <w:b/>
                <w:color w:val="auto"/>
                <w:sz w:val="22"/>
                <w:szCs w:val="21"/>
                <w:lang w:val="en-AU"/>
              </w:rPr>
            </w:pPr>
            <w:r w:rsidRPr="00111229">
              <w:rPr>
                <w:rFonts w:ascii="Arial" w:hAnsi="Arial" w:cs="Times New Roman"/>
                <w:b/>
                <w:color w:val="auto"/>
                <w:sz w:val="22"/>
                <w:szCs w:val="21"/>
                <w:lang w:val="en-AU"/>
              </w:rPr>
              <w:t>Entry requirements</w:t>
            </w:r>
          </w:p>
          <w:p w14:paraId="616C0FC6" w14:textId="77777777" w:rsidR="00EB7399" w:rsidRPr="00111229" w:rsidRDefault="00EB7399" w:rsidP="007A3F06">
            <w:pPr>
              <w:spacing w:after="80"/>
              <w:ind w:right="133"/>
              <w:rPr>
                <w:rFonts w:cs="Arial"/>
                <w:color w:val="000000"/>
                <w:sz w:val="18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>There are no entry requirements for this qualification.</w:t>
            </w:r>
          </w:p>
          <w:p w14:paraId="09A5FEEB" w14:textId="77777777" w:rsidR="00EB7399" w:rsidRPr="00111229" w:rsidRDefault="00EB7399" w:rsidP="007A3F06">
            <w:pPr>
              <w:pStyle w:val="Default"/>
              <w:spacing w:before="80" w:after="40"/>
              <w:rPr>
                <w:rFonts w:ascii="Arial" w:hAnsi="Arial" w:cs="Times New Roman"/>
                <w:b/>
                <w:color w:val="auto"/>
                <w:sz w:val="22"/>
                <w:szCs w:val="21"/>
                <w:lang w:val="en-AU"/>
              </w:rPr>
            </w:pPr>
            <w:r w:rsidRPr="00111229">
              <w:rPr>
                <w:rFonts w:ascii="Arial" w:hAnsi="Arial" w:cs="Times New Roman"/>
                <w:b/>
                <w:color w:val="auto"/>
                <w:sz w:val="22"/>
                <w:szCs w:val="21"/>
                <w:lang w:val="en-AU"/>
              </w:rPr>
              <w:t>Duration and location</w:t>
            </w:r>
          </w:p>
          <w:p w14:paraId="403124A2" w14:textId="77777777" w:rsidR="00EB7399" w:rsidRPr="00111229" w:rsidRDefault="00EB7399" w:rsidP="007A3F06">
            <w:pPr>
              <w:spacing w:after="120"/>
              <w:ind w:right="133"/>
              <w:rPr>
                <w:rFonts w:cs="Arial"/>
                <w:color w:val="000000"/>
                <w:sz w:val="16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 xml:space="preserve">This is a two-year course delivered in Years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10, 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>11 and 1</w:t>
            </w:r>
            <w:r>
              <w:rPr>
                <w:rFonts w:cs="Arial"/>
                <w:color w:val="000000"/>
                <w:sz w:val="18"/>
                <w:szCs w:val="18"/>
              </w:rPr>
              <w:t>2 on your school site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25" w:type="dxa"/>
            <w:gridSpan w:val="2"/>
          </w:tcPr>
          <w:p w14:paraId="38573B96" w14:textId="77777777" w:rsidR="00EB7399" w:rsidRPr="00111229" w:rsidRDefault="00EB7399" w:rsidP="007A3F06">
            <w:pPr>
              <w:spacing w:before="40" w:after="40"/>
              <w:rPr>
                <w:b/>
                <w:sz w:val="22"/>
              </w:rPr>
            </w:pPr>
            <w:r w:rsidRPr="00111229">
              <w:rPr>
                <w:b/>
                <w:sz w:val="22"/>
              </w:rPr>
              <w:t xml:space="preserve">Delivery modes </w:t>
            </w:r>
          </w:p>
          <w:p w14:paraId="0595B014" w14:textId="77777777" w:rsidR="00EB7399" w:rsidRPr="00111229" w:rsidRDefault="00EB7399" w:rsidP="007A3F06">
            <w:pPr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>A range of delivery modes will be used during the teaching and learning of this qualification.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>These include:</w:t>
            </w:r>
          </w:p>
          <w:p w14:paraId="5A90A6C9" w14:textId="77777777" w:rsidR="00EB7399" w:rsidRPr="00111229" w:rsidRDefault="00EB7399" w:rsidP="007A3F06">
            <w:pPr>
              <w:pStyle w:val="TableBullet"/>
              <w:rPr>
                <w:sz w:val="18"/>
                <w:szCs w:val="16"/>
              </w:rPr>
            </w:pPr>
            <w:r w:rsidRPr="00111229">
              <w:rPr>
                <w:sz w:val="18"/>
                <w:szCs w:val="16"/>
              </w:rPr>
              <w:t>face-to-face instruction</w:t>
            </w:r>
          </w:p>
          <w:p w14:paraId="7A5B5DB5" w14:textId="77777777" w:rsidR="00EB7399" w:rsidRPr="00111229" w:rsidRDefault="00EB7399" w:rsidP="007A3F06">
            <w:pPr>
              <w:pStyle w:val="TableBulle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simulated </w:t>
            </w:r>
            <w:r w:rsidRPr="00111229">
              <w:rPr>
                <w:sz w:val="18"/>
                <w:szCs w:val="16"/>
              </w:rPr>
              <w:t>work-based learning</w:t>
            </w:r>
          </w:p>
          <w:p w14:paraId="1E26F027" w14:textId="77777777" w:rsidR="00EB7399" w:rsidRPr="00EB7399" w:rsidRDefault="00EB7399" w:rsidP="00EB7399">
            <w:pPr>
              <w:pStyle w:val="TableBullet"/>
              <w:rPr>
                <w:sz w:val="18"/>
                <w:szCs w:val="16"/>
              </w:rPr>
            </w:pPr>
            <w:r w:rsidRPr="00111229">
              <w:rPr>
                <w:sz w:val="18"/>
                <w:szCs w:val="16"/>
              </w:rPr>
              <w:t>guided learning</w:t>
            </w:r>
            <w:r w:rsidRPr="00EB7399">
              <w:rPr>
                <w:sz w:val="18"/>
                <w:szCs w:val="16"/>
              </w:rPr>
              <w:t>.</w:t>
            </w:r>
          </w:p>
          <w:p w14:paraId="56D7C456" w14:textId="77777777" w:rsidR="00EB7399" w:rsidRPr="00111229" w:rsidRDefault="00EB7399" w:rsidP="007A3F06">
            <w:pPr>
              <w:pStyle w:val="Default"/>
              <w:spacing w:before="80" w:after="40"/>
              <w:rPr>
                <w:rFonts w:ascii="Arial" w:hAnsi="Arial" w:cs="Times New Roman"/>
                <w:b/>
                <w:color w:val="auto"/>
                <w:sz w:val="22"/>
                <w:szCs w:val="21"/>
                <w:lang w:val="en-AU"/>
              </w:rPr>
            </w:pPr>
            <w:r w:rsidRPr="00111229">
              <w:rPr>
                <w:rFonts w:ascii="Arial" w:hAnsi="Arial" w:cs="Times New Roman"/>
                <w:b/>
                <w:color w:val="auto"/>
                <w:sz w:val="22"/>
                <w:szCs w:val="21"/>
                <w:lang w:val="en-AU"/>
              </w:rPr>
              <w:t>Fees</w:t>
            </w:r>
          </w:p>
          <w:p w14:paraId="2E93EB9D" w14:textId="77777777" w:rsidR="00EB7399" w:rsidRPr="00111229" w:rsidRDefault="00EB7399" w:rsidP="007A3F06">
            <w:pPr>
              <w:spacing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Refer to individual site to ascertain if there are fees applicable for course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EB7399" w:rsidRPr="00111229" w14:paraId="59EA909C" w14:textId="77777777" w:rsidTr="5C4FD359">
        <w:trPr>
          <w:trHeight w:val="4783"/>
        </w:trPr>
        <w:tc>
          <w:tcPr>
            <w:tcW w:w="6042" w:type="dxa"/>
          </w:tcPr>
          <w:p w14:paraId="76902557" w14:textId="77777777" w:rsidR="00EB7399" w:rsidRPr="00111229" w:rsidRDefault="00EB7399" w:rsidP="007A3F06">
            <w:pPr>
              <w:spacing w:after="40"/>
              <w:rPr>
                <w:b/>
                <w:sz w:val="22"/>
              </w:rPr>
            </w:pPr>
            <w:r w:rsidRPr="00111229">
              <w:rPr>
                <w:b/>
                <w:sz w:val="22"/>
              </w:rPr>
              <w:t>Course units</w:t>
            </w:r>
          </w:p>
          <w:p w14:paraId="12F57A36" w14:textId="1AD76286" w:rsidR="00EB7399" w:rsidRDefault="00EB7399" w:rsidP="007A3F06">
            <w:pPr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 w:rsidRPr="5C4FD359">
              <w:rPr>
                <w:rFonts w:cs="Arial"/>
                <w:color w:val="000000" w:themeColor="text1"/>
                <w:sz w:val="18"/>
                <w:szCs w:val="18"/>
              </w:rPr>
              <w:t>To attain a FSK1011</w:t>
            </w:r>
            <w:r w:rsidR="43868244" w:rsidRPr="5C4FD359">
              <w:rPr>
                <w:rFonts w:cs="Arial"/>
                <w:color w:val="000000" w:themeColor="text1"/>
                <w:sz w:val="18"/>
                <w:szCs w:val="18"/>
              </w:rPr>
              <w:t>9</w:t>
            </w:r>
            <w:r w:rsidRPr="5C4FD359">
              <w:rPr>
                <w:rFonts w:cs="Arial"/>
                <w:color w:val="000000" w:themeColor="text1"/>
                <w:sz w:val="18"/>
                <w:szCs w:val="18"/>
              </w:rPr>
              <w:t xml:space="preserve"> Certificate I Access to Vocational Pathways, 11</w:t>
            </w:r>
          </w:p>
          <w:p w14:paraId="6E5E29FA" w14:textId="77777777" w:rsidR="00EB7399" w:rsidRPr="00111229" w:rsidRDefault="00EB7399" w:rsidP="007A3F06">
            <w:pPr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 xml:space="preserve"> units of competency must be achieved: </w:t>
            </w:r>
          </w:p>
          <w:tbl>
            <w:tblPr>
              <w:tblStyle w:val="5QCAAtablestyle"/>
              <w:tblW w:w="4750" w:type="pct"/>
              <w:tblInd w:w="0" w:type="dxa"/>
              <w:tblCellMar>
                <w:top w:w="0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4434"/>
            </w:tblGrid>
            <w:tr w:rsidR="00EB7399" w:rsidRPr="00111229" w14:paraId="56D22FAF" w14:textId="77777777" w:rsidTr="5C4FD35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34"/>
              </w:trPr>
              <w:tc>
                <w:tcPr>
                  <w:tcW w:w="1292" w:type="dxa"/>
                  <w:tcBorders>
                    <w:bottom w:val="single" w:sz="4" w:space="0" w:color="A6A8AB"/>
                  </w:tcBorders>
                </w:tcPr>
                <w:p w14:paraId="2D7D5D26" w14:textId="77777777" w:rsidR="00EB7399" w:rsidRPr="00111229" w:rsidRDefault="00EB7399" w:rsidP="007A3F06">
                  <w:pPr>
                    <w:spacing w:before="40" w:after="40"/>
                    <w:rPr>
                      <w:rStyle w:val="Strong"/>
                      <w:sz w:val="18"/>
                      <w:szCs w:val="18"/>
                    </w:rPr>
                  </w:pPr>
                  <w:r w:rsidRPr="00111229">
                    <w:rPr>
                      <w:rStyle w:val="Strong"/>
                      <w:sz w:val="18"/>
                      <w:szCs w:val="18"/>
                    </w:rPr>
                    <w:t>Unit code</w:t>
                  </w:r>
                </w:p>
              </w:tc>
              <w:tc>
                <w:tcPr>
                  <w:tcW w:w="4434" w:type="dxa"/>
                  <w:tcBorders>
                    <w:bottom w:val="single" w:sz="4" w:space="0" w:color="A6A8AB"/>
                  </w:tcBorders>
                </w:tcPr>
                <w:p w14:paraId="3D6B4210" w14:textId="77777777" w:rsidR="00EB7399" w:rsidRPr="00111229" w:rsidRDefault="00EB7399" w:rsidP="007A3F06">
                  <w:pPr>
                    <w:spacing w:before="40" w:after="40"/>
                    <w:rPr>
                      <w:rStyle w:val="Strong"/>
                      <w:sz w:val="18"/>
                      <w:szCs w:val="18"/>
                    </w:rPr>
                  </w:pPr>
                  <w:r w:rsidRPr="00111229">
                    <w:rPr>
                      <w:rStyle w:val="Strong"/>
                      <w:sz w:val="18"/>
                      <w:szCs w:val="18"/>
                    </w:rPr>
                    <w:t>Title</w:t>
                  </w:r>
                </w:p>
              </w:tc>
            </w:tr>
            <w:tr w:rsidR="00EB7399" w:rsidRPr="00111229" w14:paraId="675228E4" w14:textId="77777777" w:rsidTr="5C4FD359">
              <w:tc>
                <w:tcPr>
                  <w:tcW w:w="1292" w:type="dxa"/>
                  <w:tcBorders>
                    <w:top w:val="single" w:sz="4" w:space="0" w:color="A6A8AB"/>
                  </w:tcBorders>
                </w:tcPr>
                <w:p w14:paraId="587C3E8A" w14:textId="4D34FCA7" w:rsidR="00EB7399" w:rsidRPr="00111229" w:rsidRDefault="00EB7399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 w:rsidRPr="5C4FD359">
                    <w:rPr>
                      <w:sz w:val="16"/>
                      <w:szCs w:val="16"/>
                    </w:rPr>
                    <w:t>FSKDIG</w:t>
                  </w:r>
                  <w:r w:rsidR="319C2DFB" w:rsidRPr="5C4FD359">
                    <w:rPr>
                      <w:sz w:val="16"/>
                      <w:szCs w:val="16"/>
                    </w:rPr>
                    <w:t>0</w:t>
                  </w:r>
                  <w:r w:rsidRPr="5C4FD359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434" w:type="dxa"/>
                  <w:tcBorders>
                    <w:top w:val="single" w:sz="4" w:space="0" w:color="A6A8AB"/>
                  </w:tcBorders>
                </w:tcPr>
                <w:p w14:paraId="3178188A" w14:textId="7CCA7C73" w:rsidR="00EB7399" w:rsidRPr="00111229" w:rsidRDefault="00EB7399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 w:rsidRPr="5C4FD359">
                    <w:rPr>
                      <w:sz w:val="16"/>
                      <w:szCs w:val="16"/>
                    </w:rPr>
                    <w:t xml:space="preserve">Use Digital Technology for </w:t>
                  </w:r>
                  <w:r w:rsidR="6C6AD90D" w:rsidRPr="5C4FD359">
                    <w:rPr>
                      <w:sz w:val="16"/>
                      <w:szCs w:val="16"/>
                    </w:rPr>
                    <w:t xml:space="preserve">short and </w:t>
                  </w:r>
                  <w:r w:rsidRPr="5C4FD359">
                    <w:rPr>
                      <w:sz w:val="16"/>
                      <w:szCs w:val="16"/>
                    </w:rPr>
                    <w:t>basic workplace tasks</w:t>
                  </w:r>
                </w:p>
              </w:tc>
            </w:tr>
            <w:tr w:rsidR="00EB7399" w:rsidRPr="00111229" w14:paraId="0B2D8504" w14:textId="77777777" w:rsidTr="5C4FD359">
              <w:tc>
                <w:tcPr>
                  <w:tcW w:w="1292" w:type="dxa"/>
                </w:tcPr>
                <w:p w14:paraId="55F7ACF6" w14:textId="701F5DBA" w:rsidR="00EB7399" w:rsidRPr="00111229" w:rsidRDefault="00EB7399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 w:rsidRPr="5C4FD359">
                    <w:rPr>
                      <w:sz w:val="16"/>
                      <w:szCs w:val="16"/>
                    </w:rPr>
                    <w:t>FSKLRG0</w:t>
                  </w:r>
                  <w:r w:rsidR="719F511E" w:rsidRPr="5C4FD359">
                    <w:rPr>
                      <w:sz w:val="16"/>
                      <w:szCs w:val="16"/>
                    </w:rPr>
                    <w:t>0</w:t>
                  </w:r>
                  <w:r w:rsidRPr="5C4FD35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434" w:type="dxa"/>
                </w:tcPr>
                <w:p w14:paraId="19B3360E" w14:textId="710A750A" w:rsidR="00EB7399" w:rsidRPr="00111229" w:rsidRDefault="00EB7399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 w:rsidRPr="5C4FD359">
                    <w:rPr>
                      <w:sz w:val="16"/>
                      <w:szCs w:val="16"/>
                    </w:rPr>
                    <w:t xml:space="preserve">Identify strategies to respond to </w:t>
                  </w:r>
                  <w:r w:rsidR="0AD23A6F" w:rsidRPr="5C4FD359">
                    <w:rPr>
                      <w:sz w:val="16"/>
                      <w:szCs w:val="16"/>
                    </w:rPr>
                    <w:t>short and simple</w:t>
                  </w:r>
                  <w:r w:rsidRPr="5C4FD359">
                    <w:rPr>
                      <w:sz w:val="16"/>
                      <w:szCs w:val="16"/>
                    </w:rPr>
                    <w:t xml:space="preserve"> workplace problems</w:t>
                  </w:r>
                </w:p>
              </w:tc>
            </w:tr>
            <w:tr w:rsidR="00EB7399" w:rsidRPr="00111229" w14:paraId="2A3B6824" w14:textId="77777777" w:rsidTr="5C4FD359">
              <w:tc>
                <w:tcPr>
                  <w:tcW w:w="1292" w:type="dxa"/>
                </w:tcPr>
                <w:p w14:paraId="6C549A54" w14:textId="0C138B85" w:rsidR="00EB7399" w:rsidRPr="00111229" w:rsidRDefault="00EB7399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 w:rsidRPr="5C4FD359">
                    <w:rPr>
                      <w:sz w:val="16"/>
                      <w:szCs w:val="16"/>
                    </w:rPr>
                    <w:t>FSKLRG0</w:t>
                  </w:r>
                  <w:r w:rsidR="4E584656" w:rsidRPr="5C4FD359">
                    <w:rPr>
                      <w:sz w:val="16"/>
                      <w:szCs w:val="16"/>
                    </w:rPr>
                    <w:t>0</w:t>
                  </w:r>
                  <w:r w:rsidRPr="5C4FD35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434" w:type="dxa"/>
                </w:tcPr>
                <w:p w14:paraId="04B18B58" w14:textId="371F2619" w:rsidR="00EB7399" w:rsidRPr="00111229" w:rsidRDefault="00EB7399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 w:rsidRPr="5C4FD359">
                    <w:rPr>
                      <w:sz w:val="16"/>
                      <w:szCs w:val="16"/>
                    </w:rPr>
                    <w:t xml:space="preserve">Use </w:t>
                  </w:r>
                  <w:r w:rsidR="505E0835" w:rsidRPr="5C4FD359">
                    <w:rPr>
                      <w:sz w:val="16"/>
                      <w:szCs w:val="16"/>
                    </w:rPr>
                    <w:t>short and simple</w:t>
                  </w:r>
                  <w:r w:rsidRPr="5C4FD359">
                    <w:rPr>
                      <w:sz w:val="16"/>
                      <w:szCs w:val="16"/>
                    </w:rPr>
                    <w:t xml:space="preserve"> strategies for career planning</w:t>
                  </w:r>
                </w:p>
              </w:tc>
            </w:tr>
            <w:tr w:rsidR="00EB7399" w:rsidRPr="00111229" w14:paraId="04DD073E" w14:textId="77777777" w:rsidTr="5C4FD359">
              <w:tc>
                <w:tcPr>
                  <w:tcW w:w="1292" w:type="dxa"/>
                </w:tcPr>
                <w:p w14:paraId="4416F742" w14:textId="1E840B53" w:rsidR="00EB7399" w:rsidRPr="00111229" w:rsidRDefault="00EB7399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 w:rsidRPr="5C4FD359">
                    <w:rPr>
                      <w:sz w:val="16"/>
                      <w:szCs w:val="16"/>
                    </w:rPr>
                    <w:t>FSKLRG</w:t>
                  </w:r>
                  <w:r w:rsidR="60E2E7EE" w:rsidRPr="5C4FD359">
                    <w:rPr>
                      <w:sz w:val="16"/>
                      <w:szCs w:val="16"/>
                    </w:rPr>
                    <w:t>0</w:t>
                  </w:r>
                  <w:r w:rsidRPr="5C4FD359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434" w:type="dxa"/>
                </w:tcPr>
                <w:p w14:paraId="40187213" w14:textId="05335A0E" w:rsidR="00EB7399" w:rsidRPr="00111229" w:rsidRDefault="00EB7399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 w:rsidRPr="5C4FD359">
                    <w:rPr>
                      <w:sz w:val="16"/>
                      <w:szCs w:val="16"/>
                    </w:rPr>
                    <w:t xml:space="preserve">Use </w:t>
                  </w:r>
                  <w:r w:rsidR="439208DC" w:rsidRPr="5C4FD359">
                    <w:rPr>
                      <w:sz w:val="16"/>
                      <w:szCs w:val="16"/>
                    </w:rPr>
                    <w:t>short and simple</w:t>
                  </w:r>
                  <w:r w:rsidRPr="5C4FD359">
                    <w:rPr>
                      <w:sz w:val="16"/>
                      <w:szCs w:val="16"/>
                    </w:rPr>
                    <w:t xml:space="preserve"> strategies for work related learning</w:t>
                  </w:r>
                </w:p>
              </w:tc>
            </w:tr>
            <w:tr w:rsidR="00EB7399" w:rsidRPr="00111229" w14:paraId="12FF511F" w14:textId="77777777" w:rsidTr="5C4FD359">
              <w:tc>
                <w:tcPr>
                  <w:tcW w:w="1292" w:type="dxa"/>
                </w:tcPr>
                <w:p w14:paraId="2E6B7BD0" w14:textId="60CFBA2E" w:rsidR="00EB7399" w:rsidRPr="00111229" w:rsidRDefault="00EB7399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 w:rsidRPr="5C4FD359">
                    <w:rPr>
                      <w:sz w:val="16"/>
                      <w:szCs w:val="16"/>
                    </w:rPr>
                    <w:t>FSKNUM0</w:t>
                  </w:r>
                  <w:r w:rsidR="6A24AD07" w:rsidRPr="5C4FD359">
                    <w:rPr>
                      <w:sz w:val="16"/>
                      <w:szCs w:val="16"/>
                    </w:rPr>
                    <w:t>0</w:t>
                  </w:r>
                  <w:r w:rsidRPr="5C4FD35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434" w:type="dxa"/>
                </w:tcPr>
                <w:p w14:paraId="6C79AD6E" w14:textId="1808F73F" w:rsidR="00EB7399" w:rsidRPr="00111229" w:rsidRDefault="00EB7399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 w:rsidRPr="5C4FD359">
                    <w:rPr>
                      <w:sz w:val="16"/>
                      <w:szCs w:val="16"/>
                    </w:rPr>
                    <w:t xml:space="preserve">Use whole numbers </w:t>
                  </w:r>
                  <w:r w:rsidR="10DB274E" w:rsidRPr="5C4FD359">
                    <w:rPr>
                      <w:sz w:val="16"/>
                      <w:szCs w:val="16"/>
                    </w:rPr>
                    <w:t>and halves</w:t>
                  </w:r>
                  <w:r w:rsidRPr="5C4FD359">
                    <w:rPr>
                      <w:sz w:val="16"/>
                      <w:szCs w:val="16"/>
                    </w:rPr>
                    <w:t xml:space="preserve"> for work</w:t>
                  </w:r>
                </w:p>
              </w:tc>
            </w:tr>
            <w:tr w:rsidR="00EB7399" w:rsidRPr="00111229" w14:paraId="04CC33EB" w14:textId="77777777" w:rsidTr="5C4FD359">
              <w:tc>
                <w:tcPr>
                  <w:tcW w:w="1292" w:type="dxa"/>
                </w:tcPr>
                <w:p w14:paraId="25AB9E44" w14:textId="2FAA7D6A" w:rsidR="00EB7399" w:rsidRPr="00111229" w:rsidRDefault="00EB7399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 w:rsidRPr="5C4FD359">
                    <w:rPr>
                      <w:sz w:val="16"/>
                      <w:szCs w:val="16"/>
                    </w:rPr>
                    <w:t>FSKNUM</w:t>
                  </w:r>
                  <w:r w:rsidR="2262FBD5" w:rsidRPr="5C4FD359">
                    <w:rPr>
                      <w:sz w:val="16"/>
                      <w:szCs w:val="16"/>
                    </w:rPr>
                    <w:t>0</w:t>
                  </w:r>
                  <w:r w:rsidRPr="5C4FD359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4434" w:type="dxa"/>
                </w:tcPr>
                <w:p w14:paraId="43E35F4F" w14:textId="727A46A1" w:rsidR="00EB7399" w:rsidRPr="00111229" w:rsidRDefault="00EB7399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 w:rsidRPr="5C4FD359">
                    <w:rPr>
                      <w:sz w:val="16"/>
                      <w:szCs w:val="16"/>
                    </w:rPr>
                    <w:t xml:space="preserve">Use </w:t>
                  </w:r>
                  <w:r w:rsidR="6AE50C40" w:rsidRPr="5C4FD359">
                    <w:rPr>
                      <w:sz w:val="16"/>
                      <w:szCs w:val="16"/>
                    </w:rPr>
                    <w:t xml:space="preserve">simple and </w:t>
                  </w:r>
                  <w:r w:rsidRPr="5C4FD359">
                    <w:rPr>
                      <w:sz w:val="16"/>
                      <w:szCs w:val="16"/>
                    </w:rPr>
                    <w:t xml:space="preserve">highly familiar </w:t>
                  </w:r>
                  <w:r w:rsidR="3D1B8D9C" w:rsidRPr="5C4FD359">
                    <w:rPr>
                      <w:sz w:val="16"/>
                      <w:szCs w:val="16"/>
                    </w:rPr>
                    <w:t xml:space="preserve">spatial information </w:t>
                  </w:r>
                  <w:r w:rsidRPr="5C4FD359">
                    <w:rPr>
                      <w:sz w:val="16"/>
                      <w:szCs w:val="16"/>
                    </w:rPr>
                    <w:t>for work</w:t>
                  </w:r>
                </w:p>
              </w:tc>
            </w:tr>
            <w:tr w:rsidR="00EB7399" w:rsidRPr="00111229" w14:paraId="79A99E4E" w14:textId="77777777" w:rsidTr="5C4FD359">
              <w:tc>
                <w:tcPr>
                  <w:tcW w:w="1292" w:type="dxa"/>
                </w:tcPr>
                <w:p w14:paraId="28F06629" w14:textId="655BCED3" w:rsidR="00EB7399" w:rsidRPr="00111229" w:rsidRDefault="00EB7399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 w:rsidRPr="5C4FD359">
                    <w:rPr>
                      <w:sz w:val="16"/>
                      <w:szCs w:val="16"/>
                    </w:rPr>
                    <w:t>FSKOCM</w:t>
                  </w:r>
                  <w:r w:rsidR="6B811CBC" w:rsidRPr="5C4FD359">
                    <w:rPr>
                      <w:sz w:val="16"/>
                      <w:szCs w:val="16"/>
                    </w:rPr>
                    <w:t>0</w:t>
                  </w:r>
                  <w:r w:rsidRPr="5C4FD359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434" w:type="dxa"/>
                </w:tcPr>
                <w:p w14:paraId="298BF7AE" w14:textId="79A90E1B" w:rsidR="00EB7399" w:rsidRPr="00111229" w:rsidRDefault="00EB7399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 w:rsidRPr="5C4FD359">
                    <w:rPr>
                      <w:sz w:val="16"/>
                      <w:szCs w:val="16"/>
                    </w:rPr>
                    <w:t xml:space="preserve">Engage in </w:t>
                  </w:r>
                  <w:r w:rsidR="2ADA8492" w:rsidRPr="5C4FD359">
                    <w:rPr>
                      <w:sz w:val="16"/>
                      <w:szCs w:val="16"/>
                    </w:rPr>
                    <w:t>short and simple</w:t>
                  </w:r>
                  <w:r w:rsidRPr="5C4FD359">
                    <w:rPr>
                      <w:sz w:val="16"/>
                      <w:szCs w:val="16"/>
                    </w:rPr>
                    <w:t xml:space="preserve"> spoken exchanges at work</w:t>
                  </w:r>
                </w:p>
              </w:tc>
            </w:tr>
            <w:tr w:rsidR="00EB7399" w:rsidRPr="00111229" w14:paraId="33BDF192" w14:textId="77777777" w:rsidTr="5C4FD359">
              <w:tc>
                <w:tcPr>
                  <w:tcW w:w="1292" w:type="dxa"/>
                </w:tcPr>
                <w:p w14:paraId="7B2B1D34" w14:textId="55393ED2" w:rsidR="00EB7399" w:rsidRPr="00111229" w:rsidRDefault="00EB7399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 w:rsidRPr="5C4FD359">
                    <w:rPr>
                      <w:sz w:val="16"/>
                      <w:szCs w:val="16"/>
                    </w:rPr>
                    <w:t>FSKRDG0</w:t>
                  </w:r>
                  <w:r w:rsidR="35128CDF" w:rsidRPr="5C4FD359">
                    <w:rPr>
                      <w:sz w:val="16"/>
                      <w:szCs w:val="16"/>
                    </w:rPr>
                    <w:t>0</w:t>
                  </w:r>
                  <w:r w:rsidRPr="5C4FD35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434" w:type="dxa"/>
                </w:tcPr>
                <w:p w14:paraId="400C524C" w14:textId="1E19A051" w:rsidR="00EB7399" w:rsidRPr="00111229" w:rsidRDefault="00EB7399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 w:rsidRPr="5C4FD359">
                    <w:rPr>
                      <w:sz w:val="16"/>
                      <w:szCs w:val="16"/>
                    </w:rPr>
                    <w:t xml:space="preserve">Read and respond to </w:t>
                  </w:r>
                  <w:r w:rsidR="6B7680F3" w:rsidRPr="5C4FD359">
                    <w:rPr>
                      <w:sz w:val="16"/>
                      <w:szCs w:val="16"/>
                    </w:rPr>
                    <w:t>short and simple</w:t>
                  </w:r>
                  <w:r w:rsidRPr="5C4FD359">
                    <w:rPr>
                      <w:sz w:val="16"/>
                      <w:szCs w:val="16"/>
                    </w:rPr>
                    <w:t xml:space="preserve"> workplace signs and symbols</w:t>
                  </w:r>
                </w:p>
              </w:tc>
            </w:tr>
            <w:tr w:rsidR="00EB7399" w:rsidRPr="00111229" w14:paraId="1372BDA4" w14:textId="77777777" w:rsidTr="5C4FD359">
              <w:tc>
                <w:tcPr>
                  <w:tcW w:w="1292" w:type="dxa"/>
                </w:tcPr>
                <w:p w14:paraId="18E93E37" w14:textId="3AF2C3BE" w:rsidR="00EB7399" w:rsidRPr="00111229" w:rsidRDefault="00EB7399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 w:rsidRPr="5C4FD359">
                    <w:rPr>
                      <w:sz w:val="16"/>
                      <w:szCs w:val="16"/>
                    </w:rPr>
                    <w:t>FSKRGD</w:t>
                  </w:r>
                  <w:r w:rsidR="32B8FFD6" w:rsidRPr="5C4FD359">
                    <w:rPr>
                      <w:sz w:val="16"/>
                      <w:szCs w:val="16"/>
                    </w:rPr>
                    <w:t>0</w:t>
                  </w:r>
                  <w:r w:rsidRPr="5C4FD359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434" w:type="dxa"/>
                </w:tcPr>
                <w:p w14:paraId="47048518" w14:textId="436577F8" w:rsidR="00EB7399" w:rsidRPr="00111229" w:rsidRDefault="00EB7399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 w:rsidRPr="5C4FD359">
                    <w:rPr>
                      <w:sz w:val="16"/>
                      <w:szCs w:val="16"/>
                    </w:rPr>
                    <w:t xml:space="preserve">Read and respond to </w:t>
                  </w:r>
                  <w:r w:rsidR="0558355C" w:rsidRPr="5C4FD359">
                    <w:rPr>
                      <w:sz w:val="16"/>
                      <w:szCs w:val="16"/>
                    </w:rPr>
                    <w:t>short and simple</w:t>
                  </w:r>
                  <w:r w:rsidRPr="5C4FD359">
                    <w:rPr>
                      <w:sz w:val="16"/>
                      <w:szCs w:val="16"/>
                    </w:rPr>
                    <w:t xml:space="preserve"> workplace information</w:t>
                  </w:r>
                </w:p>
              </w:tc>
            </w:tr>
            <w:tr w:rsidR="00EB7399" w:rsidRPr="00111229" w14:paraId="3E830560" w14:textId="77777777" w:rsidTr="5C4FD359">
              <w:tc>
                <w:tcPr>
                  <w:tcW w:w="1292" w:type="dxa"/>
                </w:tcPr>
                <w:p w14:paraId="33E200D7" w14:textId="4A309995" w:rsidR="00EB7399" w:rsidRPr="00111229" w:rsidRDefault="009C3250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 w:rsidRPr="009C3250">
                    <w:rPr>
                      <w:sz w:val="16"/>
                      <w:szCs w:val="16"/>
                    </w:rPr>
                    <w:t>FSKWTG002</w:t>
                  </w:r>
                </w:p>
              </w:tc>
              <w:tc>
                <w:tcPr>
                  <w:tcW w:w="4434" w:type="dxa"/>
                </w:tcPr>
                <w:p w14:paraId="0046FDCB" w14:textId="621FCFE6" w:rsidR="00EB7399" w:rsidRPr="00111229" w:rsidRDefault="009C3250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 w:rsidRPr="009C3250">
                    <w:rPr>
                      <w:sz w:val="16"/>
                      <w:szCs w:val="16"/>
                    </w:rPr>
                    <w:t>Write short and simple workplace formatted texts</w:t>
                  </w:r>
                </w:p>
              </w:tc>
            </w:tr>
            <w:tr w:rsidR="5C4FD359" w14:paraId="06EC87D5" w14:textId="77777777" w:rsidTr="5C4FD359">
              <w:tc>
                <w:tcPr>
                  <w:tcW w:w="1292" w:type="dxa"/>
                </w:tcPr>
                <w:p w14:paraId="1BF52AB8" w14:textId="07C48015" w:rsidR="73B77210" w:rsidRDefault="73B77210" w:rsidP="5C4FD359">
                  <w:pPr>
                    <w:spacing w:before="40" w:after="40"/>
                    <w:rPr>
                      <w:sz w:val="16"/>
                      <w:szCs w:val="16"/>
                    </w:rPr>
                  </w:pPr>
                  <w:r w:rsidRPr="5C4FD359">
                    <w:rPr>
                      <w:sz w:val="16"/>
                      <w:szCs w:val="16"/>
                    </w:rPr>
                    <w:t>SIRXWHS001</w:t>
                  </w:r>
                </w:p>
              </w:tc>
              <w:tc>
                <w:tcPr>
                  <w:tcW w:w="4434" w:type="dxa"/>
                </w:tcPr>
                <w:p w14:paraId="6398D668" w14:textId="4C93B74B" w:rsidR="73B77210" w:rsidRDefault="73B77210" w:rsidP="5C4FD359">
                  <w:pPr>
                    <w:spacing w:before="40" w:after="40" w:line="259" w:lineRule="auto"/>
                    <w:rPr>
                      <w:sz w:val="16"/>
                      <w:szCs w:val="16"/>
                    </w:rPr>
                  </w:pPr>
                  <w:r w:rsidRPr="5C4FD359">
                    <w:rPr>
                      <w:sz w:val="16"/>
                      <w:szCs w:val="16"/>
                    </w:rPr>
                    <w:t>Work safely</w:t>
                  </w:r>
                </w:p>
              </w:tc>
            </w:tr>
          </w:tbl>
          <w:p w14:paraId="4372094B" w14:textId="77777777" w:rsidR="00EB7399" w:rsidRPr="001549F1" w:rsidRDefault="00EB7399" w:rsidP="007A3F06">
            <w:pPr>
              <w:pStyle w:val="BodyText"/>
              <w:rPr>
                <w:sz w:val="16"/>
              </w:rPr>
            </w:pPr>
          </w:p>
        </w:tc>
        <w:tc>
          <w:tcPr>
            <w:tcW w:w="3425" w:type="dxa"/>
            <w:gridSpan w:val="2"/>
          </w:tcPr>
          <w:p w14:paraId="08DB6D2C" w14:textId="77777777" w:rsidR="00EB7399" w:rsidRPr="00111229" w:rsidRDefault="00EB7399" w:rsidP="007A3F06">
            <w:pPr>
              <w:spacing w:after="40"/>
              <w:rPr>
                <w:b/>
                <w:sz w:val="22"/>
              </w:rPr>
            </w:pPr>
            <w:r w:rsidRPr="00111229">
              <w:rPr>
                <w:b/>
                <w:sz w:val="22"/>
              </w:rPr>
              <w:t xml:space="preserve">Assessment </w:t>
            </w:r>
          </w:p>
          <w:p w14:paraId="64F7EC2D" w14:textId="77777777" w:rsidR="00EB7399" w:rsidRPr="00111229" w:rsidRDefault="00EB7399" w:rsidP="007A3F06">
            <w:pPr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 xml:space="preserve">Assessment is competency based and completed in a simulated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work place 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>environment.</w:t>
            </w:r>
          </w:p>
          <w:p w14:paraId="162C6739" w14:textId="77777777" w:rsidR="00EB7399" w:rsidRPr="00111229" w:rsidRDefault="00EB7399" w:rsidP="007A3F06">
            <w:pPr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 xml:space="preserve">Units of competency are clustered and assessed in this way to replicate what occurs in 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work place 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>as close</w:t>
            </w:r>
            <w:r>
              <w:rPr>
                <w:rFonts w:cs="Arial"/>
                <w:color w:val="000000"/>
                <w:sz w:val="18"/>
                <w:szCs w:val="18"/>
              </w:rPr>
              <w:t>ly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 xml:space="preserve"> as possible.</w:t>
            </w:r>
          </w:p>
          <w:p w14:paraId="4080A643" w14:textId="77777777" w:rsidR="00EB7399" w:rsidRPr="00111229" w:rsidRDefault="00EB7399" w:rsidP="007A3F06">
            <w:pPr>
              <w:spacing w:before="40" w:after="4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>Assessment techniques include:</w:t>
            </w:r>
          </w:p>
          <w:p w14:paraId="227726CB" w14:textId="6002A9AF" w:rsidR="00EB7399" w:rsidRPr="00111229" w:rsidRDefault="1FACC638" w:rsidP="007A3F06">
            <w:pPr>
              <w:pStyle w:val="TableBullet"/>
              <w:rPr>
                <w:sz w:val="18"/>
                <w:szCs w:val="18"/>
              </w:rPr>
            </w:pPr>
            <w:r w:rsidRPr="5C4FD359">
              <w:rPr>
                <w:sz w:val="18"/>
                <w:szCs w:val="18"/>
              </w:rPr>
              <w:t>O</w:t>
            </w:r>
            <w:r w:rsidR="00EB7399" w:rsidRPr="5C4FD359">
              <w:rPr>
                <w:sz w:val="18"/>
                <w:szCs w:val="18"/>
              </w:rPr>
              <w:t>bservation</w:t>
            </w:r>
          </w:p>
          <w:p w14:paraId="41FA099C" w14:textId="40701AA8" w:rsidR="00EB7399" w:rsidRPr="00111229" w:rsidRDefault="74F0901E" w:rsidP="007A3F06">
            <w:pPr>
              <w:pStyle w:val="TableBulle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5C4FD359">
              <w:rPr>
                <w:sz w:val="18"/>
                <w:szCs w:val="18"/>
              </w:rPr>
              <w:t>Oral Response</w:t>
            </w:r>
          </w:p>
          <w:p w14:paraId="1D1086A3" w14:textId="1F68DF69" w:rsidR="2C537603" w:rsidRDefault="2C537603" w:rsidP="5C4FD359">
            <w:pPr>
              <w:pStyle w:val="TableBullet"/>
              <w:rPr>
                <w:sz w:val="18"/>
                <w:szCs w:val="18"/>
              </w:rPr>
            </w:pPr>
            <w:r w:rsidRPr="5C4FD359">
              <w:rPr>
                <w:sz w:val="18"/>
                <w:szCs w:val="18"/>
              </w:rPr>
              <w:t>Project review</w:t>
            </w:r>
          </w:p>
          <w:p w14:paraId="304F87AE" w14:textId="58C494E1" w:rsidR="00EB7399" w:rsidRPr="00111229" w:rsidRDefault="2C537603" w:rsidP="007A3F06">
            <w:pPr>
              <w:pStyle w:val="TableBullet"/>
              <w:rPr>
                <w:sz w:val="18"/>
                <w:szCs w:val="18"/>
              </w:rPr>
            </w:pPr>
            <w:r w:rsidRPr="5C4FD359">
              <w:rPr>
                <w:sz w:val="18"/>
                <w:szCs w:val="18"/>
              </w:rPr>
              <w:t>Portfolio of evidence</w:t>
            </w:r>
          </w:p>
          <w:p w14:paraId="7614E82A" w14:textId="4B76CD07" w:rsidR="00EB7399" w:rsidRPr="00111229" w:rsidRDefault="2C537603" w:rsidP="007A3F06">
            <w:pPr>
              <w:pStyle w:val="TableBullet"/>
              <w:rPr>
                <w:sz w:val="18"/>
                <w:szCs w:val="18"/>
              </w:rPr>
            </w:pPr>
            <w:r w:rsidRPr="5C4FD359">
              <w:rPr>
                <w:sz w:val="18"/>
                <w:szCs w:val="18"/>
              </w:rPr>
              <w:t>T</w:t>
            </w:r>
            <w:r w:rsidR="00EB7399" w:rsidRPr="5C4FD359">
              <w:rPr>
                <w:sz w:val="18"/>
                <w:szCs w:val="18"/>
              </w:rPr>
              <w:t>hird party reports</w:t>
            </w:r>
          </w:p>
          <w:p w14:paraId="1B1B77D0" w14:textId="77777777" w:rsidR="00EB7399" w:rsidRPr="00111229" w:rsidRDefault="00EB7399" w:rsidP="007A3F06">
            <w:pPr>
              <w:pStyle w:val="Default"/>
              <w:spacing w:before="80" w:after="40"/>
              <w:rPr>
                <w:rFonts w:ascii="Arial" w:hAnsi="Arial" w:cs="Times New Roman"/>
                <w:b/>
                <w:color w:val="auto"/>
                <w:sz w:val="22"/>
                <w:szCs w:val="21"/>
                <w:lang w:val="en-AU"/>
              </w:rPr>
            </w:pPr>
            <w:r w:rsidRPr="00111229">
              <w:rPr>
                <w:rFonts w:ascii="Arial" w:hAnsi="Arial" w:cs="Times New Roman"/>
                <w:b/>
                <w:color w:val="auto"/>
                <w:sz w:val="22"/>
                <w:szCs w:val="21"/>
                <w:lang w:val="en-AU"/>
              </w:rPr>
              <w:t>Work placement</w:t>
            </w:r>
          </w:p>
          <w:p w14:paraId="07D0376A" w14:textId="77777777" w:rsidR="00EB7399" w:rsidRPr="00111229" w:rsidRDefault="00EB7399" w:rsidP="00EB7399">
            <w:pPr>
              <w:spacing w:after="80"/>
              <w:rPr>
                <w:sz w:val="16"/>
                <w:szCs w:val="16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>Students are prov</w:t>
            </w:r>
            <w:r>
              <w:rPr>
                <w:rFonts w:cs="Arial"/>
                <w:color w:val="000000"/>
                <w:sz w:val="18"/>
                <w:szCs w:val="18"/>
              </w:rPr>
              <w:t>ided with the opportunity to participate in a variety of internal and/or external work experiences at each site to assist in the application of learnt skills.</w:t>
            </w:r>
          </w:p>
        </w:tc>
      </w:tr>
      <w:tr w:rsidR="00EB7399" w:rsidRPr="00111229" w14:paraId="5B1CF8E8" w14:textId="77777777" w:rsidTr="5C4FD359">
        <w:tc>
          <w:tcPr>
            <w:tcW w:w="6042" w:type="dxa"/>
          </w:tcPr>
          <w:p w14:paraId="16BA85DE" w14:textId="77777777" w:rsidR="00EB7399" w:rsidRPr="00111229" w:rsidRDefault="00EB7399" w:rsidP="007A3F06">
            <w:pPr>
              <w:pStyle w:val="Default"/>
              <w:spacing w:after="40"/>
              <w:rPr>
                <w:rFonts w:ascii="Arial" w:hAnsi="Arial" w:cs="Times New Roman"/>
                <w:b/>
                <w:color w:val="auto"/>
                <w:sz w:val="21"/>
                <w:szCs w:val="21"/>
                <w:lang w:val="en-AU"/>
              </w:rPr>
            </w:pPr>
            <w:r w:rsidRPr="00111229">
              <w:rPr>
                <w:rFonts w:ascii="Arial" w:hAnsi="Arial" w:cs="Times New Roman"/>
                <w:b/>
                <w:color w:val="auto"/>
                <w:sz w:val="21"/>
                <w:szCs w:val="21"/>
                <w:lang w:val="en-AU"/>
              </w:rPr>
              <w:t xml:space="preserve">RTO </w:t>
            </w:r>
            <w:r w:rsidRPr="00111229">
              <w:rPr>
                <w:rFonts w:ascii="Arial" w:hAnsi="Arial" w:cs="Times New Roman"/>
                <w:b/>
                <w:color w:val="auto"/>
                <w:sz w:val="22"/>
                <w:szCs w:val="21"/>
                <w:lang w:val="en-AU"/>
              </w:rPr>
              <w:t>obligation</w:t>
            </w:r>
          </w:p>
          <w:p w14:paraId="0CAE5D49" w14:textId="77777777" w:rsidR="00EB7399" w:rsidRPr="00111229" w:rsidRDefault="00EB7399" w:rsidP="007A3F06">
            <w:pPr>
              <w:spacing w:after="120"/>
              <w:ind w:right="133"/>
              <w:rPr>
                <w:rFonts w:cs="Arial"/>
                <w:color w:val="000000"/>
                <w:sz w:val="18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>The RTO guarantees that the student will be provided with every opportunity to complete the qualification. We do not guarantee employment upon completion of this qualification.</w:t>
            </w:r>
          </w:p>
          <w:p w14:paraId="183D5F83" w14:textId="77777777" w:rsidR="00EB7399" w:rsidRPr="00111229" w:rsidRDefault="00EB7399" w:rsidP="007A3F06">
            <w:pPr>
              <w:pStyle w:val="BodyText"/>
              <w:ind w:right="133"/>
              <w:rPr>
                <w:rFonts w:cs="Arial"/>
                <w:color w:val="000000"/>
                <w:sz w:val="18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>Students wh</w:t>
            </w:r>
            <w:r>
              <w:rPr>
                <w:rFonts w:cs="Arial"/>
                <w:color w:val="000000"/>
                <w:sz w:val="18"/>
                <w:szCs w:val="18"/>
              </w:rPr>
              <w:t>o are deemed competent in all 11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 xml:space="preserve"> units of competency will be awarded a Qualification and a record of results.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0585DB97" w14:textId="77777777" w:rsidR="00EB7399" w:rsidRPr="00111229" w:rsidRDefault="00EB7399" w:rsidP="007A3F06">
            <w:pPr>
              <w:pStyle w:val="BodyText"/>
              <w:ind w:right="133"/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>Students who achieve at least one unit of competency (but not the full qualification) will receive a Statement of Attainment.</w:t>
            </w:r>
          </w:p>
        </w:tc>
        <w:tc>
          <w:tcPr>
            <w:tcW w:w="3425" w:type="dxa"/>
            <w:gridSpan w:val="2"/>
          </w:tcPr>
          <w:p w14:paraId="7B45EFC4" w14:textId="77777777" w:rsidR="00EB7399" w:rsidRPr="00111229" w:rsidRDefault="00EB7399" w:rsidP="007A3F06">
            <w:pPr>
              <w:pStyle w:val="Default"/>
              <w:spacing w:before="80" w:after="40"/>
              <w:rPr>
                <w:rFonts w:ascii="Arial" w:hAnsi="Arial" w:cs="Times New Roman"/>
                <w:b/>
                <w:color w:val="auto"/>
                <w:sz w:val="21"/>
                <w:szCs w:val="21"/>
                <w:lang w:val="en-AU"/>
              </w:rPr>
            </w:pPr>
            <w:r w:rsidRPr="00111229">
              <w:rPr>
                <w:rFonts w:ascii="Arial" w:hAnsi="Arial" w:cs="Times New Roman"/>
                <w:b/>
                <w:color w:val="auto"/>
                <w:sz w:val="22"/>
                <w:szCs w:val="21"/>
                <w:lang w:val="en-AU"/>
              </w:rPr>
              <w:t>Pathways</w:t>
            </w:r>
          </w:p>
          <w:p w14:paraId="450C3015" w14:textId="77777777" w:rsidR="00EB7399" w:rsidRPr="00111229" w:rsidRDefault="00EB7399" w:rsidP="007A3F0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>This qualification may articulate into:</w:t>
            </w:r>
          </w:p>
          <w:p w14:paraId="7F9D7575" w14:textId="77777777" w:rsidR="009305AF" w:rsidRDefault="009305AF" w:rsidP="007A3F06">
            <w:pPr>
              <w:pStyle w:val="TableBullet"/>
              <w:spacing w:before="0" w:after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work experience/ </w:t>
            </w:r>
            <w:r w:rsidR="00EB7399">
              <w:rPr>
                <w:sz w:val="18"/>
                <w:szCs w:val="16"/>
              </w:rPr>
              <w:t>w</w:t>
            </w:r>
            <w:r w:rsidR="00EB7399" w:rsidRPr="00111229">
              <w:rPr>
                <w:sz w:val="18"/>
                <w:szCs w:val="16"/>
              </w:rPr>
              <w:t xml:space="preserve">ork within a </w:t>
            </w:r>
            <w:r>
              <w:rPr>
                <w:sz w:val="18"/>
                <w:szCs w:val="16"/>
              </w:rPr>
              <w:t>generalised workplace</w:t>
            </w:r>
          </w:p>
          <w:p w14:paraId="21BE66C5" w14:textId="331AF0A5" w:rsidR="009305AF" w:rsidRDefault="009305AF" w:rsidP="5C4FD359">
            <w:pPr>
              <w:pStyle w:val="TableBullet"/>
              <w:spacing w:before="0" w:after="0"/>
              <w:rPr>
                <w:sz w:val="18"/>
                <w:szCs w:val="18"/>
              </w:rPr>
            </w:pPr>
            <w:r w:rsidRPr="5C4FD359">
              <w:rPr>
                <w:sz w:val="18"/>
                <w:szCs w:val="18"/>
              </w:rPr>
              <w:t>students may use skills to assist in the completion of other qualifications</w:t>
            </w:r>
            <w:r w:rsidR="00EB7399" w:rsidRPr="5C4FD359">
              <w:rPr>
                <w:sz w:val="18"/>
                <w:szCs w:val="18"/>
              </w:rPr>
              <w:t>.</w:t>
            </w:r>
          </w:p>
          <w:p w14:paraId="3C45C17F" w14:textId="77777777" w:rsidR="00EB7399" w:rsidRPr="00111229" w:rsidRDefault="00EB7399" w:rsidP="007A3F06">
            <w:pPr>
              <w:pStyle w:val="BodyText"/>
              <w:spacing w:before="120"/>
            </w:pPr>
          </w:p>
        </w:tc>
      </w:tr>
    </w:tbl>
    <w:p w14:paraId="0185B8F9" w14:textId="77777777" w:rsidR="00876E97" w:rsidRDefault="00876E97"/>
    <w:sectPr w:rsidR="00876E9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0638" w14:textId="77777777" w:rsidR="0094615C" w:rsidRDefault="0094615C" w:rsidP="009305AF">
      <w:pPr>
        <w:spacing w:line="240" w:lineRule="auto"/>
      </w:pPr>
      <w:r>
        <w:separator/>
      </w:r>
    </w:p>
  </w:endnote>
  <w:endnote w:type="continuationSeparator" w:id="0">
    <w:p w14:paraId="63A4DFC9" w14:textId="77777777" w:rsidR="0094615C" w:rsidRDefault="0094615C" w:rsidP="00930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A866" w14:textId="77777777" w:rsidR="0094615C" w:rsidRDefault="0094615C" w:rsidP="009305AF">
      <w:pPr>
        <w:spacing w:line="240" w:lineRule="auto"/>
      </w:pPr>
      <w:r>
        <w:separator/>
      </w:r>
    </w:p>
  </w:footnote>
  <w:footnote w:type="continuationSeparator" w:id="0">
    <w:p w14:paraId="1835C753" w14:textId="77777777" w:rsidR="0094615C" w:rsidRDefault="0094615C" w:rsidP="009305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ED84" w14:textId="77777777" w:rsidR="009305AF" w:rsidRDefault="009305AF">
    <w:pPr>
      <w:pStyle w:val="Header"/>
    </w:pPr>
    <w:r>
      <w:rPr>
        <w:noProof/>
        <w:lang w:eastAsia="zh-CN"/>
        <w14:numForm w14:val="default"/>
      </w:rPr>
      <w:drawing>
        <wp:inline distT="0" distB="0" distL="0" distR="0" wp14:anchorId="6B01CB05" wp14:editId="3ED6738E">
          <wp:extent cx="5731510" cy="644487"/>
          <wp:effectExtent l="0" t="0" r="2540" b="3810"/>
          <wp:docPr id="1" name="Picture 1" descr="G:\Coredata\Admin\RTO\RTO Operational\LOGO\SETA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oredata\Admin\RTO\RTO Operational\LOGO\SETA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44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221A9"/>
    <w:multiLevelType w:val="multilevel"/>
    <w:tmpl w:val="08B2EAAA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­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30" w:hanging="170"/>
      </w:pPr>
      <w:rPr>
        <w:rFonts w:hint="default"/>
      </w:rPr>
    </w:lvl>
  </w:abstractNum>
  <w:num w:numId="1" w16cid:durableId="356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399"/>
    <w:rsid w:val="005D5C61"/>
    <w:rsid w:val="00876E97"/>
    <w:rsid w:val="0091272A"/>
    <w:rsid w:val="009305AF"/>
    <w:rsid w:val="0094615C"/>
    <w:rsid w:val="009C3250"/>
    <w:rsid w:val="00C16054"/>
    <w:rsid w:val="00EB7399"/>
    <w:rsid w:val="0558355C"/>
    <w:rsid w:val="0908E7EF"/>
    <w:rsid w:val="0AD23A6F"/>
    <w:rsid w:val="0BBFCE16"/>
    <w:rsid w:val="0EF76ED8"/>
    <w:rsid w:val="10DB274E"/>
    <w:rsid w:val="122F0F9A"/>
    <w:rsid w:val="13CADFFB"/>
    <w:rsid w:val="1FACC638"/>
    <w:rsid w:val="2262FBD5"/>
    <w:rsid w:val="2ADA8492"/>
    <w:rsid w:val="2C537603"/>
    <w:rsid w:val="2D81F15A"/>
    <w:rsid w:val="319C2DFB"/>
    <w:rsid w:val="32B8FFD6"/>
    <w:rsid w:val="35128CDF"/>
    <w:rsid w:val="3D1B8D9C"/>
    <w:rsid w:val="43868244"/>
    <w:rsid w:val="439208DC"/>
    <w:rsid w:val="4B2CC43F"/>
    <w:rsid w:val="4E584656"/>
    <w:rsid w:val="505E0835"/>
    <w:rsid w:val="5A9ADA9B"/>
    <w:rsid w:val="5C36AAFC"/>
    <w:rsid w:val="5C4FD359"/>
    <w:rsid w:val="60E2E7EE"/>
    <w:rsid w:val="6107E106"/>
    <w:rsid w:val="61161A20"/>
    <w:rsid w:val="6A24AD07"/>
    <w:rsid w:val="6AE50C40"/>
    <w:rsid w:val="6B7680F3"/>
    <w:rsid w:val="6B811CBC"/>
    <w:rsid w:val="6C6AD90D"/>
    <w:rsid w:val="719F511E"/>
    <w:rsid w:val="73B77210"/>
    <w:rsid w:val="74F0901E"/>
    <w:rsid w:val="786A1C03"/>
    <w:rsid w:val="7BA1BCC5"/>
    <w:rsid w:val="7E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06F44"/>
  <w15:chartTrackingRefBased/>
  <w15:docId w15:val="{D2BF0E33-F904-441C-86AA-93095818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9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0" w:unhideWhenUsed="1" w:qFormat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EB7399"/>
    <w:pPr>
      <w:spacing w:after="0"/>
    </w:pPr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73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BodyText"/>
    <w:link w:val="Heading3Char"/>
    <w:uiPriority w:val="3"/>
    <w:qFormat/>
    <w:rsid w:val="00EB7399"/>
    <w:pPr>
      <w:tabs>
        <w:tab w:val="left" w:pos="2268"/>
      </w:tabs>
      <w:spacing w:before="240" w:after="120"/>
      <w:outlineLvl w:val="2"/>
    </w:pPr>
    <w:rPr>
      <w:rFonts w:eastAsia="Times New Roman" w:cstheme="majorHAnsi"/>
      <w:b/>
      <w:color w:val="6D6F7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3"/>
    <w:rsid w:val="00EB7399"/>
    <w:rPr>
      <w:rFonts w:asciiTheme="majorHAnsi" w:eastAsia="Times New Roman" w:hAnsiTheme="majorHAnsi" w:cstheme="majorHAnsi"/>
      <w:b/>
      <w:color w:val="6D6F71"/>
      <w:sz w:val="28"/>
      <w:szCs w:val="28"/>
      <w:lang w:eastAsia="en-AU"/>
      <w14:numForm w14:val="lining"/>
    </w:rPr>
  </w:style>
  <w:style w:type="character" w:styleId="Hyperlink">
    <w:name w:val="Hyperlink"/>
    <w:uiPriority w:val="20"/>
    <w:qFormat/>
    <w:rsid w:val="00EB7399"/>
    <w:rPr>
      <w:rFonts w:ascii="Arial" w:hAnsi="Arial"/>
      <w:color w:val="0000FF"/>
      <w:u w:val="none"/>
    </w:rPr>
  </w:style>
  <w:style w:type="paragraph" w:customStyle="1" w:styleId="TableBullet2">
    <w:name w:val="Table Bullet 2"/>
    <w:basedOn w:val="TableBullet"/>
    <w:uiPriority w:val="14"/>
    <w:qFormat/>
    <w:rsid w:val="00EB7399"/>
    <w:pPr>
      <w:widowControl w:val="0"/>
      <w:numPr>
        <w:ilvl w:val="1"/>
      </w:numPr>
    </w:pPr>
    <w:rPr>
      <w:szCs w:val="18"/>
    </w:rPr>
  </w:style>
  <w:style w:type="paragraph" w:customStyle="1" w:styleId="TableBullet">
    <w:name w:val="Table Bullet"/>
    <w:basedOn w:val="Normal"/>
    <w:uiPriority w:val="14"/>
    <w:qFormat/>
    <w:rsid w:val="00EB7399"/>
    <w:pPr>
      <w:numPr>
        <w:numId w:val="1"/>
      </w:numPr>
      <w:spacing w:before="40" w:after="40"/>
    </w:pPr>
    <w:rPr>
      <w:color w:val="000000" w:themeColor="text1"/>
      <w:sz w:val="19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B73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EB7399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customStyle="1" w:styleId="TableBullet3">
    <w:name w:val="Table Bullet 3"/>
    <w:basedOn w:val="TableBullet2"/>
    <w:uiPriority w:val="14"/>
    <w:qFormat/>
    <w:rsid w:val="00EB7399"/>
    <w:pPr>
      <w:numPr>
        <w:ilvl w:val="2"/>
      </w:numPr>
    </w:pPr>
  </w:style>
  <w:style w:type="table" w:customStyle="1" w:styleId="TextLayout">
    <w:name w:val="Text Layout"/>
    <w:basedOn w:val="TableNormal"/>
    <w:uiPriority w:val="99"/>
    <w:rsid w:val="00EB7399"/>
    <w:pPr>
      <w:spacing w:after="0"/>
    </w:pPr>
    <w:rPr>
      <w:rFonts w:ascii="Arial" w:eastAsia="Times New Roman" w:hAnsi="Arial" w:cs="Times New Roman"/>
      <w:sz w:val="21"/>
      <w:szCs w:val="21"/>
      <w:lang w:eastAsia="en-AU"/>
    </w:rPr>
    <w:tblPr>
      <w:tblCellMar>
        <w:left w:w="0" w:type="dxa"/>
        <w:right w:w="0" w:type="dxa"/>
      </w:tblCellMar>
    </w:tblPr>
  </w:style>
  <w:style w:type="table" w:customStyle="1" w:styleId="5QCAAtablestyle">
    <w:name w:val="5_ QCAA table style"/>
    <w:basedOn w:val="TableNormal"/>
    <w:uiPriority w:val="99"/>
    <w:rsid w:val="00EB7399"/>
    <w:pPr>
      <w:spacing w:after="0" w:line="240" w:lineRule="auto"/>
    </w:pPr>
    <w:rPr>
      <w:rFonts w:eastAsia="Times New Roman" w:cs="Times New Roman"/>
      <w:sz w:val="19"/>
      <w:szCs w:val="21"/>
      <w:lang w:eastAsia="en-AU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numbering" w:customStyle="1" w:styleId="ListGroupTableBullets">
    <w:name w:val="List_GroupTableBullets"/>
    <w:uiPriority w:val="99"/>
    <w:rsid w:val="00EB7399"/>
    <w:pPr>
      <w:numPr>
        <w:numId w:val="1"/>
      </w:numPr>
    </w:pPr>
  </w:style>
  <w:style w:type="character" w:styleId="Strong">
    <w:name w:val="Strong"/>
    <w:uiPriority w:val="1"/>
    <w:rsid w:val="00EB7399"/>
    <w:rPr>
      <w:b/>
      <w:bCs/>
    </w:rPr>
  </w:style>
  <w:style w:type="paragraph" w:customStyle="1" w:styleId="Default">
    <w:name w:val="Default"/>
    <w:rsid w:val="00EB73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73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AU"/>
      <w14:numForm w14:val="lining"/>
    </w:rPr>
  </w:style>
  <w:style w:type="paragraph" w:styleId="Header">
    <w:name w:val="header"/>
    <w:basedOn w:val="Normal"/>
    <w:link w:val="HeaderChar"/>
    <w:uiPriority w:val="99"/>
    <w:unhideWhenUsed/>
    <w:rsid w:val="009305A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5AF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Footer">
    <w:name w:val="footer"/>
    <w:basedOn w:val="Normal"/>
    <w:link w:val="FooterChar"/>
    <w:uiPriority w:val="99"/>
    <w:unhideWhenUsed/>
    <w:rsid w:val="009305A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5AF"/>
    <w:rPr>
      <w:rFonts w:ascii="Arial" w:eastAsia="Times New Roman" w:hAnsi="Arial" w:cs="Times New Roman"/>
      <w:sz w:val="21"/>
      <w:szCs w:val="21"/>
      <w:lang w:eastAsia="en-AU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aining.gov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b3283bd8-92fa-4bf6-adf9-69bf29fbc3aa">2024-03-08T07:23:35+00:00</PPSubmittedDate>
    <PPSubmittedBy xmlns="b3283bd8-92fa-4bf6-adf9-69bf29fbc3aa">
      <UserInfo>
        <DisplayName>CARLIN, Blake</DisplayName>
        <AccountId>32</AccountId>
        <AccountType/>
      </UserInfo>
    </PPSubmittedBy>
    <PPLastReviewedBy xmlns="b3283bd8-92fa-4bf6-adf9-69bf29fbc3aa">
      <UserInfo>
        <DisplayName>CARLIN, Blake</DisplayName>
        <AccountId>32</AccountId>
        <AccountType/>
      </UserInfo>
    </PPLastReviewedBy>
    <PPModeratedDate xmlns="b3283bd8-92fa-4bf6-adf9-69bf29fbc3aa">2024-03-08T07:24:44+00:00</PPModeratedDate>
    <PPLastReviewedDate xmlns="b3283bd8-92fa-4bf6-adf9-69bf29fbc3aa">2024-03-08T07:24:44+00:00</PPLastReviewedDate>
    <PublishingExpirationDate xmlns="http://schemas.microsoft.com/sharepoint/v3" xsi:nil="true"/>
    <PPContentOwner xmlns="b3283bd8-92fa-4bf6-adf9-69bf29fbc3aa">
      <UserInfo>
        <DisplayName/>
        <AccountId xsi:nil="true"/>
        <AccountType/>
      </UserInfo>
    </PPContentOwner>
    <PPPublishedNotificationAddresses xmlns="b3283bd8-92fa-4bf6-adf9-69bf29fbc3aa" xsi:nil="true"/>
    <PublishingStartDate xmlns="http://schemas.microsoft.com/sharepoint/v3" xsi:nil="true"/>
    <PPReferenceNumber xmlns="b3283bd8-92fa-4bf6-adf9-69bf29fbc3aa" xsi:nil="true"/>
    <PPContentAuthor xmlns="b3283bd8-92fa-4bf6-adf9-69bf29fbc3aa">
      <UserInfo>
        <DisplayName>CARLIN, Blake</DisplayName>
        <AccountId>32</AccountId>
        <AccountType/>
      </UserInfo>
    </PPContentAuthor>
    <PPModeratedBy xmlns="b3283bd8-92fa-4bf6-adf9-69bf29fbc3aa">
      <UserInfo>
        <DisplayName>CARLIN, Blake</DisplayName>
        <AccountId>32</AccountId>
        <AccountType/>
      </UserInfo>
    </PPModeratedBy>
    <PPContentApprover xmlns="b3283bd8-92fa-4bf6-adf9-69bf29fbc3aa">
      <UserInfo>
        <DisplayName/>
        <AccountId xsi:nil="true"/>
        <AccountType/>
      </UserInfo>
    </PPContentApprover>
    <PPReviewDate xmlns="b3283bd8-92fa-4bf6-adf9-69bf29fbc3aa">2025-03-07T14:00:00+00:00</PPReview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E23A2D97F0C469C15EFB4317F9931" ma:contentTypeVersion="14" ma:contentTypeDescription="Create a new document." ma:contentTypeScope="" ma:versionID="d6e5b98b5933967d97375e539bf959ff">
  <xsd:schema xmlns:xsd="http://www.w3.org/2001/XMLSchema" xmlns:xs="http://www.w3.org/2001/XMLSchema" xmlns:p="http://schemas.microsoft.com/office/2006/metadata/properties" xmlns:ns1="http://schemas.microsoft.com/sharepoint/v3" xmlns:ns2="b3283bd8-92fa-4bf6-adf9-69bf29fbc3aa" targetNamespace="http://schemas.microsoft.com/office/2006/metadata/properties" ma:root="true" ma:fieldsID="0ea0878b21b4ae811481b26f5063cb84" ns1:_="" ns2:_="">
    <xsd:import namespace="http://schemas.microsoft.com/sharepoint/v3"/>
    <xsd:import namespace="b3283bd8-92fa-4bf6-adf9-69bf29fbc3a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83bd8-92fa-4bf6-adf9-69bf29fbc3aa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30243-DCAD-4BAD-8C60-57718596FF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17F881-C894-4E40-A283-6E400B863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54464-F0AD-4B17-A653-A37878877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FSK10119 - Certificate I Access to Vocational Pathways Flyer</dc:title>
  <dc:subject/>
  <dc:creator>HOWARD, Kacie (khowa71)</dc:creator>
  <cp:keywords/>
  <dc:description/>
  <cp:lastModifiedBy>Lyndal Bryant</cp:lastModifiedBy>
  <cp:revision>2</cp:revision>
  <dcterms:created xsi:type="dcterms:W3CDTF">2023-11-26T06:55:00Z</dcterms:created>
  <dcterms:modified xsi:type="dcterms:W3CDTF">2023-11-26T06:55:00Z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0x010100C73E23A2D97F0C469C15EFB4317F9931</vt:lpwstr>
  </property>
</Properties>
</file>